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xxx Add</w:t>
      </w:r>
      <w:r>
        <w:t xml:space="preserve"> </w:t>
      </w:r>
      <w:r>
        <w:t xml:space="preserve">(Wong et al. 2023)</w:t>
      </w:r>
      <w:r>
        <w:t xml:space="preserve">,</w:t>
      </w:r>
      <w:r>
        <w:t xml:space="preserve"> </w:t>
      </w:r>
      <w:r>
        <w:t xml:space="preserve">(Ulloa et al. 2012)</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xxx Add info about Colour Light and pico 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PC-rich and PE-rich cultures of</w:t>
      </w:r>
      <w:r>
        <w:t xml:space="preserve"> </w:t>
      </w:r>
      <w:r>
        <w:rPr>
          <w:iCs/>
          <w:i/>
        </w:rPr>
        <w:t xml:space="preserve">Synechococcus</w:t>
      </w:r>
      <w:r>
        <w:t xml:space="preserve"> </w:t>
      </w:r>
      <w:r>
        <w:t xml:space="preserve">sp. were obtained from the Culture Collection of Baltic Algae (PC-rich CCBA_077 and PE-rich CCBA_127)</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The optical density of the cultures was monitored using the Photobioreactor Control Software (Photon Systems Instruments, Drásov, Czech Republic). Each of 8 round bottom cylindrical glass tubes contained 75 mL of f/2 medium and 5 mL of growing pre-culture. 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bandwidth,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were shown in Fig. S1 in Supplementary materials. The cell-specific exponential growth rates (µ) were also determined (Fig.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The number of picocyanobacterial cells was estimated using linear regression models based on cell concentration (cell mL</w:t>
      </w:r>
      <w:r>
        <w:rPr>
          <w:vertAlign w:val="superscript"/>
        </w:rPr>
        <w:t xml:space="preserve">−1</w:t>
      </w:r>
      <w:r>
        <w:t xml:space="preserve">) and OD at 680 nm or 720 nm (Table S1). The OD of cultures was measured using MCMIX-OD PSI Multicultivators (Photon Systems Instruments, Drásov, Czech Republic) and calculation of the cell number was conducted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 Using an integrating cavity upgrade CLARiTY 17 UV/Vis/NIR spectrophotometer, we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receive Phycobiliproteins content. Additionally, we calculated and presented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for photophysiological characterizations repeatedly across the growth trajectories. To ensure measurements in low O</w:t>
      </w:r>
      <w:r>
        <w:rPr>
          <w:vertAlign w:val="subscript"/>
        </w:rPr>
        <w:t xml:space="preserve">2</w:t>
      </w:r>
      <w:r>
        <w:t xml:space="preserve"> </w:t>
      </w:r>
      <w:r>
        <w:t xml:space="preserve">concentration of ~ 2.5 µM, we added N</w:t>
      </w:r>
      <w:r>
        <w:rPr>
          <w:vertAlign w:val="subscript"/>
        </w:rPr>
        <w:t xml:space="preserve">2</w:t>
      </w:r>
      <w:r>
        <w:t xml:space="preserve"> </w:t>
      </w:r>
      <w:r>
        <w:t xml:space="preserve">from a gas cylinder during measurements. O</w:t>
      </w:r>
      <w:r>
        <w:rPr>
          <w:vertAlign w:val="subscript"/>
        </w:rPr>
        <w:t xml:space="preserve">2</w:t>
      </w:r>
      <w:r>
        <w:t xml:space="preserve"> </w:t>
      </w:r>
      <w:r>
        <w:t xml:space="preserve">concentration was verified using oxygen optodes (PyroScience, Germany) inserted into culture samples for real-time measurements.</w:t>
      </w:r>
    </w:p>
    <w:p>
      <w:pPr>
        <w:pStyle w:val="BodyText"/>
      </w:pPr>
      <w:r>
        <w:t xml:space="preserve">We used FRRf</w:t>
      </w:r>
      <w:r>
        <w:t xml:space="preserve"> </w:t>
      </w:r>
      <w:r>
        <w:t xml:space="preserve">(Kolber et al. 1998)</w:t>
      </w:r>
      <w:r>
        <w:t xml:space="preserve"> </w:t>
      </w:r>
      <w:r>
        <w:t xml:space="preserve">(Solisense,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445; preferentially exciting phycourobilin (PUB), 530; preferentially exciting phycoerythrin (PE), or 590 nm; preferentially exciting phycocyanin (PC).</w:t>
      </w:r>
    </w:p>
    <w:p>
      <w:pPr>
        <w:pStyle w:val="BodyText"/>
      </w:pPr>
      <w:r>
        <w:t xml:space="preserve">Flash Power for Ex</w:t>
      </w:r>
      <w:r>
        <w:rPr>
          <w:vertAlign w:val="subscript"/>
        </w:rPr>
        <w:t xml:space="preserve">445nm</w:t>
      </w:r>
      <w:r>
        <w:t xml:space="preserve"> </w:t>
      </w:r>
      <w:r>
        <w:t xml:space="preserve">was 60000 µmol photons m</w:t>
      </w:r>
      <w:r>
        <w:rPr>
          <w:vertAlign w:val="superscript"/>
        </w:rPr>
        <w:t xml:space="preserve">−2</w:t>
      </w:r>
      <w:r>
        <w:t xml:space="preserve">s</w:t>
      </w:r>
      <w:r>
        <w:rPr>
          <w:vertAlign w:val="superscript"/>
        </w:rPr>
        <w:t xml:space="preserve">−1</w:t>
      </w:r>
      <w:r>
        <w:t xml:space="preserve"> </w:t>
      </w:r>
      <w:r>
        <w:t xml:space="preserve">PAR, for Ex</w:t>
      </w:r>
      <w:r>
        <w:rPr>
          <w:vertAlign w:val="subscript"/>
        </w:rPr>
        <w:t xml:space="preserve">470nm</w:t>
      </w:r>
      <w:r>
        <w:t xml:space="preserve"> </w:t>
      </w:r>
      <w:r>
        <w:t xml:space="preserve">and Ex</w:t>
      </w:r>
      <w:r>
        <w:rPr>
          <w:vertAlign w:val="subscript"/>
        </w:rPr>
        <w:t xml:space="preserve">535nm</w:t>
      </w:r>
      <w:r>
        <w:t xml:space="preserve"> </w:t>
      </w:r>
      <w:r>
        <w:t xml:space="preserve">excitation power was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470, 535, or 590 nm, as the actinic light steps.</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or photochemical quenching coefficient (q</w:t>
      </w:r>
      <w:r>
        <w:rPr>
          <w:vertAlign w:val="subscript"/>
        </w:rPr>
        <w:t xml:space="preserve">P</w:t>
      </w:r>
      <w:r>
        <w:t xml:space="preserve">)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sp. grown at spectral bandwidths of 450, 470, 530, or 620 nm and O</w:t>
      </w:r>
      <w:r>
        <w:rPr>
          <w:vertAlign w:val="subscript"/>
        </w:rPr>
        <w:t xml:space="preserve">2</w:t>
      </w:r>
      <w:r>
        <w:t xml:space="preserve"> </w:t>
      </w:r>
      <w:r>
        <w:t xml:space="preserve">concentrations of 250 µM or 2.5 µM.</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w:t>
      </w:r>
    </w:p>
    <w:p>
      <w:pPr>
        <w:pStyle w:val="BodyText"/>
      </w:pPr>
      <w:r>
        <w:t xml:space="preserve">For the blue LED (Ex</w:t>
      </w:r>
      <w:r>
        <w:rPr>
          <w:vertAlign w:val="subscript"/>
        </w:rPr>
        <w:t xml:space="preserve">445nm</w:t>
      </w:r>
      <w:r>
        <w:t xml:space="preserve">) excitation we used a calibration slope of 108832, for the blue-green LED (Ex</w:t>
      </w:r>
      <w:r>
        <w:rPr>
          <w:vertAlign w:val="subscript"/>
        </w:rPr>
        <w:t xml:space="preserve">470nm</w:t>
      </w:r>
      <w:r>
        <w:t xml:space="preserve">) excitation we used a calibration slope of 98039, for the green LED (Ex</w:t>
      </w:r>
      <w:r>
        <w:rPr>
          <w:vertAlign w:val="subscript"/>
        </w:rPr>
        <w:t xml:space="preserve">530nm</w:t>
      </w:r>
      <w:r>
        <w:t xml:space="preserve">) excitation we used a calibration slope of 110082, while for orange LED (Ex</w:t>
      </w:r>
      <w:r>
        <w:rPr>
          <w:vertAlign w:val="subscript"/>
        </w:rPr>
        <w:t xml:space="preserve">590nm</w:t>
      </w:r>
      <w:r>
        <w:t xml:space="preserve">) excitation we used a calibration slope of 254327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At the same time as the FRRf measurements were performed, Chl</w:t>
      </w:r>
      <w:r>
        <w:t xml:space="preserve"> </w:t>
      </w:r>
      <w:r>
        <w:rPr>
          <w:iCs/>
          <w:i/>
        </w:rPr>
        <w:t xml:space="preserve">a</w:t>
      </w:r>
      <w:r>
        <w:t xml:space="preserve"> </w:t>
      </w:r>
      <w:r>
        <w:t xml:space="preserve">(µg mL</w:t>
      </w:r>
      <w:r>
        <w:rPr>
          <w:vertAlign w:val="superscript"/>
        </w:rPr>
        <w:t xml:space="preserve">−1</w:t>
      </w:r>
      <w:r>
        <w:t xml:space="preserve">) were also investigated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O</w:t>
      </w:r>
      <w:r>
        <w:rPr>
          <w:vertAlign w:val="subscript"/>
        </w:rPr>
        <w:t xml:space="preserve">2</w:t>
      </w:r>
      <w:r>
        <w:t xml:space="preserve"> </w:t>
      </w:r>
      <w:r>
        <w:t xml:space="preserve">concentration, and their interactions, significantly influence the chlorophyll-specific exponential growth rate (µ; d</w:t>
      </w:r>
      <w:r>
        <w:rPr>
          <w:vertAlign w:val="superscript"/>
        </w:rPr>
        <w:t xml:space="preserve">−1</w:t>
      </w:r>
      <w:r>
        <w:t xml:space="preserve">; Tab. S4) and pigment content (Tab. S5). We also performed three-way factorial ANOVA (</w:t>
      </w:r>
      <w:r>
        <w:rPr>
          <w:iCs/>
          <w:i/>
        </w:rPr>
        <w:t xml:space="preserve">aov()</w:t>
      </w:r>
      <w:r>
        <w:t xml:space="preserve"> </w:t>
      </w:r>
      <w:r>
        <w:t xml:space="preserve">function) to determine whether strain, Actinic PAR, O</w:t>
      </w:r>
      <w:r>
        <w:rPr>
          <w:vertAlign w:val="subscript"/>
        </w:rPr>
        <w:t xml:space="preserve">2</w:t>
      </w:r>
      <w:r>
        <w:t xml:space="preserve"> </w:t>
      </w:r>
      <w:r>
        <w:t xml:space="preserve">concentration, and their interactions, significantly influence the σ</w:t>
      </w:r>
      <w:r>
        <w:rPr>
          <w:vertAlign w:val="subscript"/>
        </w:rPr>
        <w:t xml:space="preserve">PSII</w:t>
      </w:r>
      <w:r>
        <w:t xml:space="preserve"> </w:t>
      </w:r>
      <w:r>
        <w:t xml:space="preserve">(Tab. S6); τ</w:t>
      </w:r>
      <w:r>
        <w:rPr>
          <w:vertAlign w:val="subscript"/>
        </w:rPr>
        <w:t xml:space="preserve">PSII</w:t>
      </w:r>
      <w:r>
        <w:t xml:space="preserve"> </w:t>
      </w:r>
      <w:r>
        <w:t xml:space="preserve">(Tab. S7); or q</w:t>
      </w:r>
      <w:r>
        <w:rPr>
          <w:vertAlign w:val="subscript"/>
        </w:rPr>
        <w:t xml:space="preserve">P</w:t>
      </w:r>
      <w:r>
        <w:t xml:space="preserve"> </w:t>
      </w:r>
      <w:r>
        <w:t xml:space="preserve">(Tab. S8).</w:t>
      </w:r>
    </w:p>
    <w:p>
      <w:pPr>
        <w:pStyle w:val="BodyText"/>
      </w:pPr>
      <w:r>
        <w:t xml:space="preserve">We used</w:t>
      </w:r>
      <w:r>
        <w:t xml:space="preserve"> </w:t>
      </w:r>
      <w:r>
        <w:rPr>
          <w:iCs/>
          <w:i/>
        </w:rPr>
        <w:t xml:space="preserve">t</w:t>
      </w:r>
      <w:r>
        <w:t xml:space="preserve">-tests of linear fits to compare data across different strains and O</w:t>
      </w:r>
      <w:r>
        <w:rPr>
          <w:vertAlign w:val="subscript"/>
        </w:rPr>
        <w:t xml:space="preserve">2</w:t>
      </w:r>
      <w:r>
        <w:t xml:space="preserve"> </w:t>
      </w:r>
      <w:r>
        <w:t xml:space="preserve">concentration for a given growth waveband, for chlorophyll-specific exponential growth rate vs. Phycobiliproteins to Chl</w:t>
      </w:r>
      <w:r>
        <w:t xml:space="preserve"> </w:t>
      </w:r>
      <w:r>
        <w:rPr>
          <w:iCs/>
          <w:i/>
        </w:rPr>
        <w:t xml:space="preserve">a</w:t>
      </w:r>
      <w:r>
        <w:t xml:space="preserve"> </w:t>
      </w:r>
      <w:r>
        <w:t xml:space="preserve">ratio (Tab. S9).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w:t>
      </w:r>
      <w:r>
        <w:t xml:space="preserve">concentration in situations in which cultures were excited by, and growing in, corresponding growth wavebands of 450, 470, 530, or 620 nm, for chlorophyll-specific exponential growth rate vs. </w:t>
      </w:r>
      <w:r>
        <w:rPr>
          <w:iCs/>
          <w:i/>
        </w:rPr>
        <w:t xml:space="preserve">JV</w:t>
      </w:r>
      <w:r>
        <w:rPr>
          <w:vertAlign w:val="subscript"/>
        </w:rPr>
        <w:t xml:space="preserve">PSII</w:t>
      </w:r>
      <w:r>
        <w:t xml:space="preserve"> </w:t>
      </w:r>
      <w:r>
        <w:t xml:space="preserve">(Tab. S10).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691d66d9a9c45995c6c65e68b90d7c1cffc2960"/>
    <w:p>
      <w:pPr>
        <w:pStyle w:val="Heading2"/>
      </w:pPr>
      <w:r>
        <w:t xml:space="preserve">Chlorophyll-specific exponential growth rate</w:t>
      </w:r>
    </w:p>
    <w:p>
      <w:pPr>
        <w:pStyle w:val="FirstParagraph"/>
      </w:pPr>
      <w:r>
        <w:t xml:space="preserve">We used logistic curve fits (Fig. S1)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(Fig.</w:t>
      </w:r>
      <w:r>
        <w:t xml:space="preserve"> </w:t>
      </w:r>
      <w:r>
        <w:t xml:space="preserve">1</w:t>
      </w:r>
      <w:r>
        <w:t xml:space="preserve">.</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S3).</w:t>
      </w:r>
    </w:p>
    <w:p>
      <w:pPr>
        <w:pStyle w:val="BodyText"/>
      </w:pPr>
      <w:r>
        <w:t xml:space="preserve">In general, PE-rich strains achieved faster growth rates under O</w:t>
      </w:r>
      <w:r>
        <w:rPr>
          <w:vertAlign w:val="subscript"/>
        </w:rPr>
        <w:t xml:space="preserve">2</w:t>
      </w:r>
      <w:r>
        <w:t xml:space="preserve"> </w:t>
      </w:r>
      <w:r>
        <w:t xml:space="preserve">concentration of 2.5 µM than 250 µM whereas, PC-rich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where μ = 0.165 ± 0.030 d</w:t>
      </w:r>
      <w:r>
        <w:rPr>
          <w:vertAlign w:val="superscript"/>
        </w:rPr>
        <w:t xml:space="preserve">−1</w:t>
      </w:r>
      <w:r>
        <w:t xml:space="preserve"> </w:t>
      </w:r>
      <w:r>
        <w:t xml:space="preserve">at 620 nm and μ = 0.164 ± 0.032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and μ = 0.137 ± 0.026 d</w:t>
      </w:r>
      <w:r>
        <w:rPr>
          <w:vertAlign w:val="superscript"/>
        </w:rPr>
        <w:t xml:space="preserve">−1</w:t>
      </w:r>
      <w:r>
        <w:t xml:space="preserve"> </w:t>
      </w:r>
      <w:r>
        <w:t xml:space="preserve">at 620 nm and μ = 0.141 ± 0.028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 µM.</w:t>
      </w:r>
    </w:p>
    <w:p>
      <w:pPr>
        <w:pStyle w:val="BodyText"/>
      </w:pPr>
      <w:r>
        <w:t xml:space="preserve">PE-rich strain showed the highest growth rate under green light at 530 nm under 250 µM of O</w:t>
      </w:r>
      <w:r>
        <w:rPr>
          <w:vertAlign w:val="subscript"/>
        </w:rPr>
        <w:t xml:space="preserve">2</w:t>
      </w:r>
      <w:r>
        <w:t xml:space="preserve"> </w:t>
      </w:r>
      <w:r>
        <w:t xml:space="preserve">(μ = 0.131 ± 0.046 d</w:t>
      </w:r>
      <w:r>
        <w:rPr>
          <w:vertAlign w:val="superscript"/>
        </w:rPr>
        <w:t xml:space="preserve">−1</w:t>
      </w:r>
      <w:r>
        <w:t xml:space="preserve">). However, under O</w:t>
      </w:r>
      <w:r>
        <w:rPr>
          <w:vertAlign w:val="subscript"/>
        </w:rPr>
        <w:t xml:space="preserve">2</w:t>
      </w:r>
      <w:r>
        <w:t xml:space="preserve"> </w:t>
      </w:r>
      <w:r>
        <w:t xml:space="preserve">concentration of 2.5 µM, high growth rates were recorded for 530 nm (μ = 0.181 ± 0.021 d</w:t>
      </w:r>
      <w:r>
        <w:rPr>
          <w:vertAlign w:val="superscript"/>
        </w:rPr>
        <w:t xml:space="preserve">−1</w:t>
      </w:r>
      <w:r>
        <w:t xml:space="preserve">), 620 nm (μ = 0.184 ± 0.019 d</w:t>
      </w:r>
      <w:r>
        <w:rPr>
          <w:vertAlign w:val="superscript"/>
        </w:rPr>
        <w:t xml:space="preserve">−1</w:t>
      </w:r>
      <w:r>
        <w:t xml:space="preserve">) and 660 nm (μ = 0.180 ± 0.019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µ; d−1) vs. growth waveband (nm, shaded regions). Growth rates (± SE) were estimated from logistic fits of chlorophyll proxy OD680 – OD720 (ΔOD) vs. elapsed time (Fig. S1), for PC-rich (green circle) and PE-rich (red circle) cultures of Synechococcus sp. grown at spectral bandwidths of 405, 450, 470, 530, 620, 660, or 730 nm, and O2 concentrations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exponential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bookmarkEnd w:id="37"/>
    <w:bookmarkStart w:id="42" w:name="pigment-content-and-pigment-ratio-1"/>
    <w:p>
      <w:pPr>
        <w:pStyle w:val="Heading2"/>
      </w:pPr>
      <w:r>
        <w:t xml:space="preserve">Pigment content and pigment ratio</w:t>
      </w:r>
    </w:p>
    <w:p>
      <w:pPr>
        <w:pStyle w:val="FirstParagraph"/>
      </w:pPr>
      <w:r>
        <w:t xml:space="preserve">Whole-cell absorbance spectra of PC-rich and PE-rich</w:t>
      </w:r>
      <w:r>
        <w:t xml:space="preserve"> </w:t>
      </w:r>
      <w:r>
        <w:rPr>
          <w:iCs/>
          <w:i/>
        </w:rPr>
        <w:t xml:space="preserve">Synechococcus</w:t>
      </w:r>
      <w:r>
        <w:t xml:space="preserve"> </w:t>
      </w:r>
      <w:r>
        <w:t xml:space="preserve">sp. cultures showed that XXX (Fig.</w:t>
      </w:r>
      <w:r>
        <w:t xml:space="preserve"> </w:t>
      </w:r>
      <w:r>
        <w:t xml:space="preserve">??</w:t>
      </w:r>
      <w:r>
        <w:rPr>
          <w:iCs/>
          <w:i/>
        </w:rPr>
        <w:t xml:space="preserve">a</w:t>
      </w:r>
      <w:r>
        <w:t xml:space="preserve">)…</w:t>
      </w:r>
    </w:p>
    <w:p>
      <w:pPr>
        <w:pStyle w:val="BodyText"/>
      </w:pPr>
    </w:p>
    <w:p>
      <w:pPr>
        <w:pStyle w:val="CaptionedFigure"/>
      </w:pPr>
      <w:r>
        <w:drawing>
          <wp:inline>
            <wp:extent cx="5504749" cy="7339665"/>
            <wp:effectExtent b="0" l="0" r="0" t="0"/>
            <wp:docPr descr="Fig. 2: Pigment content (pg cell −1) vs. growth waveband (nm; a) and Chlorophyll-specific exponential growth rates (µ; d−1) vs. Phycobiliproteins:Chlorophyll a ratio (µg:µg) (b)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w:t>
      </w:r>
      <w:r>
        <w:t xml:space="preserve"> </w:t>
      </w:r>
      <w:r>
        <w:rPr>
          <w:iCs/>
          <w:i/>
        </w:rPr>
        <w:t xml:space="preserve">a</w:t>
      </w:r>
      <w:r>
        <w:t xml:space="preserve">) and Chlorophyll-specific exponential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bookmarkEnd w:id="42"/>
    <w:bookmarkStart w:id="47" w:name="X5017cac93ee094a4acb0f0cbebfdeafb6cfc562"/>
    <w:p>
      <w:pPr>
        <w:pStyle w:val="Heading2"/>
      </w:pPr>
      <w:r>
        <w:t xml:space="preserve">Effective absorption cross section of PSII, turnover time of PSII photochemistry, and photochemical quenching coefficient</w:t>
      </w:r>
    </w:p>
    <w:p>
      <w:pPr>
        <w:pStyle w:val="FirstParagraph"/>
      </w:pPr>
      <w:r>
        <w:t xml:space="preserve">σPSII′ - Effective absorption cross section of PSII photochemistry under actinic light -&gt; A2 (quanta)-1 or m2</w:t>
      </w:r>
    </w:p>
    <w:p>
      <w:pPr>
        <w:pStyle w:val="BodyText"/>
      </w:pPr>
      <w:r>
        <w:t xml:space="preserve">TauPSII - Minimum turnover time of PSII photochemistry -&gt; s-1</w:t>
      </w:r>
    </w:p>
    <w:p>
      <w:pPr>
        <w:pStyle w:val="BodyText"/>
      </w:pPr>
      <w:r>
        <w:t xml:space="preserve">qP = (PSII efficiency factor under actinic light; photochemical quenching coefficient)</w:t>
      </w:r>
    </w:p>
    <w:p>
      <w:pPr>
        <w:pStyle w:val="BodyText"/>
      </w:pPr>
      <w:r>
        <w:t xml:space="preserve">Data show situations in which cultures were excited by, and growing in, corresponding wavebands.</w:t>
      </w: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iCs/>
          <w:i/>
        </w:rPr>
        <w:t xml:space="preserve">a</w:t>
      </w:r>
      <w:r>
        <w:t xml:space="preserve">); turnover time of PSII photochemistry (τ</w:t>
      </w:r>
      <w:r>
        <w:rPr>
          <w:vertAlign w:val="subscript"/>
        </w:rPr>
        <w:t xml:space="preserve">PSII</w:t>
      </w:r>
      <w:r>
        <w:t xml:space="preserve">; µs,</w:t>
      </w:r>
      <w:r>
        <w:t xml:space="preserve"> </w:t>
      </w:r>
      <w:r>
        <w:rPr>
          <w:iCs/>
          <w:i/>
        </w:rPr>
        <w:t xml:space="preserve">b</w:t>
      </w:r>
      <w:r>
        <w:t xml:space="preserve">); or photochemical quenching coefficient (q</w:t>
      </w:r>
      <w:r>
        <w:rPr>
          <w:vertAlign w:val="subscript"/>
        </w:rPr>
        <w:t xml:space="preserve">P</w:t>
      </w:r>
      <w:r>
        <w:t xml:space="preserve">,</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32432087011c5407ecfc34c65f5ceb2cc29b522"/>
    <w:p>
      <w:pPr>
        <w:pStyle w:val="Heading2"/>
      </w:pPr>
      <w:r>
        <w:t xml:space="preserve">Growth rates vs. cumulative diel PSII electron flux</w:t>
      </w:r>
    </w:p>
    <w:p>
      <w:pPr>
        <w:pStyle w:val="FirstParagraph"/>
      </w:pPr>
    </w:p>
    <w:p>
      <w:pPr>
        <w:pStyle w:val="CaptionedFigure"/>
      </w:pPr>
      <w:r>
        <w:drawing>
          <wp:inline>
            <wp:extent cx="5504749" cy="4587290"/>
            <wp:effectExtent b="0" l="0" r="0" t="0"/>
            <wp:docPr descr="Fig. 4: Chlorophyll-specific exponential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49" name="Picture"/>
            <a:graphic>
              <a:graphicData uri="http://schemas.openxmlformats.org/drawingml/2006/picture">
                <pic:pic>
                  <pic:nvPicPr>
                    <pic:cNvPr descr="../Output/Figures/Fig_GrowthRateJVPSII.png" id="50" name="Picture"/>
                    <pic:cNvPicPr>
                      <a:picLocks noChangeArrowheads="1" noChangeAspect="1"/>
                    </pic:cNvPicPr>
                  </pic:nvPicPr>
                  <pic:blipFill>
                    <a:blip r:embed="rId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1" w:name="fig:GrowthRateJVPSII"/>
      <w:bookmarkEnd w:id="51"/>
      <w:r>
        <w:rPr>
          <w:bCs/>
          <w:b/>
        </w:rPr>
        <w:t xml:space="preserve">Fig.</w:t>
      </w:r>
      <w:r>
        <w:rPr>
          <w:bCs/>
          <w:b/>
        </w:rPr>
        <w:t xml:space="preserve"> </w:t>
      </w:r>
      <w:r>
        <w:t xml:space="preserve">4: Chlorophyll-specific exponential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4" w:name="discussion"/>
    <w:p>
      <w:pPr>
        <w:pStyle w:val="Heading1"/>
      </w:pPr>
      <w:r>
        <w:t xml:space="preserve">Discussion</w:t>
      </w:r>
    </w:p>
    <w:p>
      <w:pPr>
        <w:pStyle w:val="FirstParagraph"/>
      </w:pPr>
    </w:p>
    <w:bookmarkEnd w:id="54"/>
    <w:bookmarkStart w:id="55"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55"/>
    <w:bookmarkStart w:id="5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Start w:id="57"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57"/>
    <w:bookmarkStart w:id="58" w:name="conflict-of-interest"/>
    <w:p>
      <w:pPr>
        <w:pStyle w:val="Heading2"/>
      </w:pPr>
      <w:r>
        <w:t xml:space="preserve">Conflict of Interest</w:t>
      </w:r>
    </w:p>
    <w:p>
      <w:pPr>
        <w:pStyle w:val="FirstParagraph"/>
      </w:pPr>
      <w:r>
        <w:t xml:space="preserve">None declared.</w:t>
      </w:r>
    </w:p>
    <w:p>
      <w:pPr>
        <w:pStyle w:val="BodyText"/>
      </w:pPr>
    </w:p>
    <w:p>
      <w:pPr>
        <w:pStyle w:val="BodyText"/>
      </w:pPr>
      <w:r>
        <w:t xml:space="preserve">Competing interests: The authors declare there are no competing interests.</w:t>
      </w:r>
    </w:p>
    <w:bookmarkEnd w:id="58"/>
    <w:bookmarkEnd w:id="59"/>
    <w:bookmarkStart w:id="102" w:name="references"/>
    <w:p>
      <w:pPr>
        <w:pStyle w:val="Heading1"/>
      </w:pPr>
      <w:r>
        <w:t xml:space="preserve">References</w:t>
      </w:r>
    </w:p>
    <w:bookmarkStart w:id="101" w:name="refs"/>
    <w:bookmarkStart w:id="61"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0">
        <w:r>
          <w:rPr>
            <w:rStyle w:val="Hyperlink"/>
          </w:rPr>
          <w:t xml:space="preserve">10.1083/jcb.58.2.419</w:t>
        </w:r>
      </w:hyperlink>
      <w:r>
        <w:t xml:space="preserve">.</w:t>
      </w:r>
    </w:p>
    <w:bookmarkEnd w:id="61"/>
    <w:bookmarkStart w:id="6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62"/>
    <w:bookmarkStart w:id="6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63">
        <w:r>
          <w:rPr>
            <w:rStyle w:val="Hyperlink"/>
          </w:rPr>
          <w:t xml:space="preserve">10.3389/fmars.2019.00319</w:t>
        </w:r>
      </w:hyperlink>
      <w:r>
        <w:t xml:space="preserve">.</w:t>
      </w:r>
    </w:p>
    <w:bookmarkEnd w:id="64"/>
    <w:bookmarkStart w:id="6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65">
        <w:r>
          <w:rPr>
            <w:rStyle w:val="Hyperlink"/>
          </w:rPr>
          <w:t xml:space="preserve">10.1126/science.aam7240</w:t>
        </w:r>
      </w:hyperlink>
      <w:r>
        <w:t xml:space="preserve">.</w:t>
      </w:r>
    </w:p>
    <w:bookmarkEnd w:id="66"/>
    <w:bookmarkStart w:id="67"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67"/>
    <w:bookmarkStart w:id="68"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68"/>
    <w:bookmarkStart w:id="70"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69">
        <w:r>
          <w:rPr>
            <w:rStyle w:val="Hyperlink"/>
          </w:rPr>
          <w:t xml:space="preserve">10.1073/pnas.1307701110</w:t>
        </w:r>
      </w:hyperlink>
      <w:r>
        <w:t xml:space="preserve">.</w:t>
      </w:r>
    </w:p>
    <w:bookmarkEnd w:id="70"/>
    <w:bookmarkStart w:id="72"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71">
        <w:r>
          <w:rPr>
            <w:rStyle w:val="Hyperlink"/>
          </w:rPr>
          <w:t xml:space="preserve">10.1007/978-1-4615-8714-9_3</w:t>
        </w:r>
      </w:hyperlink>
      <w:r>
        <w:t xml:space="preserve">.</w:t>
      </w:r>
    </w:p>
    <w:bookmarkEnd w:id="72"/>
    <w:bookmarkStart w:id="73"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73"/>
    <w:bookmarkStart w:id="7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74">
        <w:r>
          <w:rPr>
            <w:rStyle w:val="Hyperlink"/>
          </w:rPr>
          <w:t xml:space="preserve">10.1016/j.jphotobiol.2005.10.002</w:t>
        </w:r>
      </w:hyperlink>
      <w:r>
        <w:t xml:space="preserve">.</w:t>
      </w:r>
    </w:p>
    <w:bookmarkEnd w:id="75"/>
    <w:bookmarkStart w:id="77"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76">
        <w:r>
          <w:rPr>
            <w:rStyle w:val="Hyperlink"/>
          </w:rPr>
          <w:t xml:space="preserve">10.1016/S0005-2728(98)00135-2</w:t>
        </w:r>
      </w:hyperlink>
      <w:r>
        <w:t xml:space="preserve">.</w:t>
      </w:r>
    </w:p>
    <w:bookmarkEnd w:id="77"/>
    <w:bookmarkStart w:id="79"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78">
        <w:r>
          <w:rPr>
            <w:rStyle w:val="Hyperlink"/>
          </w:rPr>
          <w:t xml:space="preserve">10.1023/A:1005936823310</w:t>
        </w:r>
      </w:hyperlink>
      <w:r>
        <w:t xml:space="preserve">.</w:t>
      </w:r>
    </w:p>
    <w:bookmarkEnd w:id="79"/>
    <w:bookmarkStart w:id="81"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80">
        <w:r>
          <w:rPr>
            <w:rStyle w:val="Hyperlink"/>
          </w:rPr>
          <w:t xml:space="preserve">10.4319/lom.2012.10.142</w:t>
        </w:r>
      </w:hyperlink>
      <w:r>
        <w:t xml:space="preserve">.</w:t>
      </w:r>
    </w:p>
    <w:bookmarkEnd w:id="81"/>
    <w:bookmarkStart w:id="82"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82"/>
    <w:bookmarkStart w:id="84" w:name="ref-posit"/>
    <w:p>
      <w:pPr>
        <w:pStyle w:val="Bibliography"/>
      </w:pPr>
      <w:r>
        <w:t xml:space="preserve">Posit team. 2022. RStudio: Integrated development environment for r. Posit Software, PBC, Boston, MA. Available from</w:t>
      </w:r>
      <w:r>
        <w:t xml:space="preserve"> </w:t>
      </w:r>
      <w:hyperlink r:id="rId83">
        <w:r>
          <w:rPr>
            <w:rStyle w:val="Hyperlink"/>
          </w:rPr>
          <w:t xml:space="preserve">http://www.posit.co/</w:t>
        </w:r>
      </w:hyperlink>
      <w:r>
        <w:t xml:space="preserve">.</w:t>
      </w:r>
    </w:p>
    <w:bookmarkEnd w:id="84"/>
    <w:bookmarkStart w:id="86" w:name="ref-rcore"/>
    <w:p>
      <w:pPr>
        <w:pStyle w:val="Bibliography"/>
      </w:pPr>
      <w:r>
        <w:t xml:space="preserve">R Core Team. 2023. R: A language and environment for statistical computing. R Foundation for Statistical Computing, Vienna, Austria. Available from</w:t>
      </w:r>
      <w:r>
        <w:t xml:space="preserve"> </w:t>
      </w:r>
      <w:hyperlink r:id="rId85">
        <w:r>
          <w:rPr>
            <w:rStyle w:val="Hyperlink"/>
          </w:rPr>
          <w:t xml:space="preserve">https://www.R-project.org/</w:t>
        </w:r>
      </w:hyperlink>
      <w:r>
        <w:t xml:space="preserve">.</w:t>
      </w:r>
    </w:p>
    <w:bookmarkEnd w:id="86"/>
    <w:bookmarkStart w:id="88"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87">
        <w:r>
          <w:rPr>
            <w:rStyle w:val="Hyperlink"/>
          </w:rPr>
          <w:t xml:space="preserve">DOI: http://dx.doi.org/10.25607/OBP-1791</w:t>
        </w:r>
      </w:hyperlink>
      <w:r>
        <w:t xml:space="preserve">.</w:t>
      </w:r>
    </w:p>
    <w:bookmarkEnd w:id="88"/>
    <w:bookmarkStart w:id="90"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89">
        <w:r>
          <w:rPr>
            <w:rStyle w:val="Hyperlink"/>
          </w:rPr>
          <w:t xml:space="preserve">10.25607/OBP-1084</w:t>
        </w:r>
      </w:hyperlink>
      <w:r>
        <w:t xml:space="preserve">.</w:t>
      </w:r>
    </w:p>
    <w:bookmarkEnd w:id="90"/>
    <w:bookmarkStart w:id="92"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91">
        <w:r>
          <w:rPr>
            <w:rStyle w:val="Hyperlink"/>
          </w:rPr>
          <w:t xml:space="preserve">10.1073/pnas.1205009109</w:t>
        </w:r>
      </w:hyperlink>
      <w:r>
        <w:t xml:space="preserve">.</w:t>
      </w:r>
    </w:p>
    <w:bookmarkEnd w:id="92"/>
    <w:bookmarkStart w:id="94"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93">
        <w:r>
          <w:rPr>
            <w:rStyle w:val="Hyperlink"/>
          </w:rPr>
          <w:t xml:space="preserve">10.1007/978-3-319-24277-4_9</w:t>
        </w:r>
      </w:hyperlink>
      <w:r>
        <w:t xml:space="preserve">.</w:t>
      </w:r>
    </w:p>
    <w:bookmarkEnd w:id="94"/>
    <w:bookmarkStart w:id="96"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95">
        <w:r>
          <w:rPr>
            <w:rStyle w:val="Hyperlink"/>
          </w:rPr>
          <w:t xml:space="preserve">10.1002/cyto.a.24508</w:t>
        </w:r>
      </w:hyperlink>
      <w:r>
        <w:t xml:space="preserve">.</w:t>
      </w:r>
    </w:p>
    <w:bookmarkEnd w:id="96"/>
    <w:bookmarkStart w:id="98"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97">
        <w:r>
          <w:rPr>
            <w:rStyle w:val="Hyperlink"/>
          </w:rPr>
          <w:t xml:space="preserve">10.1002/lno.12367</w:t>
        </w:r>
      </w:hyperlink>
      <w:r>
        <w:t xml:space="preserve">.</w:t>
      </w:r>
    </w:p>
    <w:bookmarkEnd w:id="98"/>
    <w:bookmarkStart w:id="100"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99">
        <w:r>
          <w:rPr>
            <w:rStyle w:val="Hyperlink"/>
          </w:rPr>
          <w:t xml:space="preserve">10.1016/j.bbabio.2017.03.003</w:t>
        </w:r>
      </w:hyperlink>
      <w:r>
        <w:t xml:space="preserve">.</w:t>
      </w:r>
    </w:p>
    <w:bookmarkEnd w:id="100"/>
    <w:bookmarkEnd w:id="101"/>
    <w:bookmarkEnd w:id="102"/>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87" Target="DOI: http://dx.doi.org/10.25607/OBP-1791" TargetMode="External" /><Relationship Type="http://schemas.openxmlformats.org/officeDocument/2006/relationships/hyperlink" Id="rId8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95" Target="https://doi.org/10.1002/cyto.a.24508" TargetMode="External" /><Relationship Type="http://schemas.openxmlformats.org/officeDocument/2006/relationships/hyperlink" Id="rId97" Target="https://doi.org/10.1002/lno.12367" TargetMode="External" /><Relationship Type="http://schemas.openxmlformats.org/officeDocument/2006/relationships/hyperlink" Id="rId71" Target="https://doi.org/10.1007/978-1-4615-8714-9_3" TargetMode="External" /><Relationship Type="http://schemas.openxmlformats.org/officeDocument/2006/relationships/hyperlink" Id="rId93" Target="https://doi.org/10.1007/978-3-319-24277-4_9" TargetMode="External" /><Relationship Type="http://schemas.openxmlformats.org/officeDocument/2006/relationships/hyperlink" Id="rId76" Target="https://doi.org/10.1016/S0005-2728(98)00135-2" TargetMode="External" /><Relationship Type="http://schemas.openxmlformats.org/officeDocument/2006/relationships/hyperlink" Id="rId99" Target="https://doi.org/10.1016/j.bbabio.2017.03.003" TargetMode="External" /><Relationship Type="http://schemas.openxmlformats.org/officeDocument/2006/relationships/hyperlink" Id="rId74" Target="https://doi.org/10.1016/j.jphotobiol.2005.10.002" TargetMode="External" /><Relationship Type="http://schemas.openxmlformats.org/officeDocument/2006/relationships/hyperlink" Id="rId78" Target="https://doi.org/10.1023/A:1005936823310" TargetMode="External" /><Relationship Type="http://schemas.openxmlformats.org/officeDocument/2006/relationships/hyperlink" Id="rId91" Target="https://doi.org/10.1073/pnas.1205009109" TargetMode="External" /><Relationship Type="http://schemas.openxmlformats.org/officeDocument/2006/relationships/hyperlink" Id="rId69" Target="https://doi.org/10.1073/pnas.1307701110" TargetMode="External" /><Relationship Type="http://schemas.openxmlformats.org/officeDocument/2006/relationships/hyperlink" Id="rId60" Target="https://doi.org/10.1083/jcb.58.2.419" TargetMode="External" /><Relationship Type="http://schemas.openxmlformats.org/officeDocument/2006/relationships/hyperlink" Id="rId65" Target="https://doi.org/10.1126/science.aam7240" TargetMode="External" /><Relationship Type="http://schemas.openxmlformats.org/officeDocument/2006/relationships/hyperlink" Id="rId89" Target="https://doi.org/10.25607/OBP-1084" TargetMode="External" /><Relationship Type="http://schemas.openxmlformats.org/officeDocument/2006/relationships/hyperlink" Id="rId63" Target="https://doi.org/10.3389/fmars.2019.00319" TargetMode="External" /><Relationship Type="http://schemas.openxmlformats.org/officeDocument/2006/relationships/hyperlink" Id="rId80"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85"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87" Target="DOI: http://dx.doi.org/10.25607/OBP-1791" TargetMode="External" /><Relationship Type="http://schemas.openxmlformats.org/officeDocument/2006/relationships/hyperlink" Id="rId8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95" Target="https://doi.org/10.1002/cyto.a.24508" TargetMode="External" /><Relationship Type="http://schemas.openxmlformats.org/officeDocument/2006/relationships/hyperlink" Id="rId97" Target="https://doi.org/10.1002/lno.12367" TargetMode="External" /><Relationship Type="http://schemas.openxmlformats.org/officeDocument/2006/relationships/hyperlink" Id="rId71" Target="https://doi.org/10.1007/978-1-4615-8714-9_3" TargetMode="External" /><Relationship Type="http://schemas.openxmlformats.org/officeDocument/2006/relationships/hyperlink" Id="rId93" Target="https://doi.org/10.1007/978-3-319-24277-4_9" TargetMode="External" /><Relationship Type="http://schemas.openxmlformats.org/officeDocument/2006/relationships/hyperlink" Id="rId76" Target="https://doi.org/10.1016/S0005-2728(98)00135-2" TargetMode="External" /><Relationship Type="http://schemas.openxmlformats.org/officeDocument/2006/relationships/hyperlink" Id="rId99" Target="https://doi.org/10.1016/j.bbabio.2017.03.003" TargetMode="External" /><Relationship Type="http://schemas.openxmlformats.org/officeDocument/2006/relationships/hyperlink" Id="rId74" Target="https://doi.org/10.1016/j.jphotobiol.2005.10.002" TargetMode="External" /><Relationship Type="http://schemas.openxmlformats.org/officeDocument/2006/relationships/hyperlink" Id="rId78" Target="https://doi.org/10.1023/A:1005936823310" TargetMode="External" /><Relationship Type="http://schemas.openxmlformats.org/officeDocument/2006/relationships/hyperlink" Id="rId91" Target="https://doi.org/10.1073/pnas.1205009109" TargetMode="External" /><Relationship Type="http://schemas.openxmlformats.org/officeDocument/2006/relationships/hyperlink" Id="rId69" Target="https://doi.org/10.1073/pnas.1307701110" TargetMode="External" /><Relationship Type="http://schemas.openxmlformats.org/officeDocument/2006/relationships/hyperlink" Id="rId60" Target="https://doi.org/10.1083/jcb.58.2.419" TargetMode="External" /><Relationship Type="http://schemas.openxmlformats.org/officeDocument/2006/relationships/hyperlink" Id="rId65" Target="https://doi.org/10.1126/science.aam7240" TargetMode="External" /><Relationship Type="http://schemas.openxmlformats.org/officeDocument/2006/relationships/hyperlink" Id="rId89" Target="https://doi.org/10.25607/OBP-1084" TargetMode="External" /><Relationship Type="http://schemas.openxmlformats.org/officeDocument/2006/relationships/hyperlink" Id="rId63" Target="https://doi.org/10.3389/fmars.2019.00319" TargetMode="External" /><Relationship Type="http://schemas.openxmlformats.org/officeDocument/2006/relationships/hyperlink" Id="rId80"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85"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2024-06-19T11:16:23Z</dcterms:created>
  <dcterms:modified xsi:type="dcterms:W3CDTF">2024-06-19T11:16:23Z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